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A35" w:rsidRDefault="009C5A35">
      <w:pPr>
        <w:jc w:val="center"/>
        <w:rPr>
          <w:rFonts w:ascii="Times New Roman" w:eastAsia="Times New Roman" w:hAnsi="Times New Roman" w:cs="Times New Roman"/>
          <w:sz w:val="24"/>
          <w:szCs w:val="24"/>
        </w:rPr>
      </w:pPr>
    </w:p>
    <w:p w:rsidR="009C5A35" w:rsidRDefault="009C5A35">
      <w:pPr>
        <w:jc w:val="center"/>
        <w:rPr>
          <w:rFonts w:ascii="Times New Roman" w:eastAsia="Times New Roman" w:hAnsi="Times New Roman" w:cs="Times New Roman"/>
          <w:sz w:val="24"/>
          <w:szCs w:val="24"/>
        </w:rPr>
      </w:pPr>
    </w:p>
    <w:p w:rsidR="009C5A35" w:rsidRDefault="009C5A35">
      <w:pPr>
        <w:jc w:val="center"/>
        <w:rPr>
          <w:rFonts w:ascii="Times New Roman" w:eastAsia="Times New Roman" w:hAnsi="Times New Roman" w:cs="Times New Roman"/>
          <w:sz w:val="24"/>
          <w:szCs w:val="24"/>
        </w:rPr>
      </w:pPr>
    </w:p>
    <w:p w:rsidR="009C5A35" w:rsidRDefault="009C5A35">
      <w:pPr>
        <w:jc w:val="center"/>
        <w:rPr>
          <w:rFonts w:ascii="Times New Roman" w:eastAsia="Times New Roman" w:hAnsi="Times New Roman" w:cs="Times New Roman"/>
          <w:sz w:val="24"/>
          <w:szCs w:val="24"/>
        </w:rPr>
      </w:pPr>
    </w:p>
    <w:p w:rsidR="009C5A35" w:rsidRDefault="009C5A35">
      <w:pPr>
        <w:jc w:val="center"/>
        <w:rPr>
          <w:rFonts w:ascii="Times New Roman" w:eastAsia="Times New Roman" w:hAnsi="Times New Roman" w:cs="Times New Roman"/>
          <w:sz w:val="24"/>
          <w:szCs w:val="24"/>
        </w:rPr>
      </w:pPr>
    </w:p>
    <w:p w:rsidR="009C5A35" w:rsidRDefault="009C5A35">
      <w:pPr>
        <w:jc w:val="center"/>
        <w:rPr>
          <w:rFonts w:ascii="Times New Roman" w:eastAsia="Times New Roman" w:hAnsi="Times New Roman" w:cs="Times New Roman"/>
          <w:sz w:val="24"/>
          <w:szCs w:val="24"/>
        </w:rPr>
      </w:pPr>
    </w:p>
    <w:p w:rsidR="009C5A35" w:rsidRDefault="009C5A35">
      <w:pPr>
        <w:jc w:val="center"/>
        <w:rPr>
          <w:rFonts w:ascii="Times New Roman" w:eastAsia="Times New Roman" w:hAnsi="Times New Roman" w:cs="Times New Roman"/>
          <w:sz w:val="24"/>
          <w:szCs w:val="24"/>
        </w:rPr>
      </w:pPr>
    </w:p>
    <w:p w:rsidR="009C5A35" w:rsidRDefault="009C5A35">
      <w:pPr>
        <w:jc w:val="center"/>
        <w:rPr>
          <w:rFonts w:ascii="Times New Roman" w:eastAsia="Times New Roman" w:hAnsi="Times New Roman" w:cs="Times New Roman"/>
          <w:sz w:val="24"/>
          <w:szCs w:val="24"/>
        </w:rPr>
      </w:pPr>
    </w:p>
    <w:p w:rsidR="009C5A35" w:rsidRDefault="00636A6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Power of attorney and case study</w:t>
      </w:r>
    </w:p>
    <w:p w:rsidR="009C5A35" w:rsidRDefault="00636A6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9C5A35" w:rsidRDefault="00636A6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9C5A35" w:rsidRDefault="00636A6C">
      <w:pPr>
        <w:rPr>
          <w:rFonts w:ascii="Times New Roman" w:eastAsia="Times New Roman" w:hAnsi="Times New Roman" w:cs="Times New Roman"/>
          <w:sz w:val="24"/>
          <w:szCs w:val="24"/>
        </w:rPr>
      </w:pPr>
      <w:r>
        <w:br w:type="page"/>
      </w:r>
    </w:p>
    <w:p w:rsidR="00AE0939" w:rsidRDefault="00AE0939" w:rsidP="00AE09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Power of attorney and case study</w:t>
      </w:r>
    </w:p>
    <w:p w:rsidR="009C5A35" w:rsidRDefault="00636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1</w:t>
      </w:r>
    </w:p>
    <w:p w:rsidR="009C5A35" w:rsidRDefault="00636A6C" w:rsidP="00AE093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Law is necessary in governing the conduct of individuals in different States. In most cases, the authority formulates laws depending on believes and views of the residents. However, there are some sections of the constitutions from different countries that</w:t>
      </w:r>
      <w:r>
        <w:rPr>
          <w:rFonts w:ascii="Times New Roman" w:eastAsia="Times New Roman" w:hAnsi="Times New Roman" w:cs="Times New Roman"/>
          <w:sz w:val="24"/>
          <w:szCs w:val="24"/>
        </w:rPr>
        <w:t xml:space="preserve"> are similar. Such regulations are mostly on ethical issues. One of the most common law in most States is about impersonating or acting on behalf of another party or institution without their mandate or consent. However, the power of attorney legally allow</w:t>
      </w:r>
      <w:r>
        <w:rPr>
          <w:rFonts w:ascii="Times New Roman" w:eastAsia="Times New Roman" w:hAnsi="Times New Roman" w:cs="Times New Roman"/>
          <w:sz w:val="24"/>
          <w:szCs w:val="24"/>
        </w:rPr>
        <w:t>s people to act on behalf of others.</w:t>
      </w:r>
    </w:p>
    <w:p w:rsidR="009C5A35" w:rsidRDefault="00636A6C" w:rsidP="00AE093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law, there is an article which allows individuals to or firms to manage affairs of other people. The appointed organizations or individuals can only act on behalf of others in case the person is unable perform the ac</w:t>
      </w:r>
      <w:r>
        <w:rPr>
          <w:rFonts w:ascii="Times New Roman" w:eastAsia="Times New Roman" w:hAnsi="Times New Roman" w:cs="Times New Roman"/>
          <w:sz w:val="24"/>
          <w:szCs w:val="24"/>
        </w:rPr>
        <w:t>tivities or duties. The person acting on behalf of another is referred to as an attorney or an agent. All powers given to the attorneys are different. This is due to the varying reasons for appointing them. Some are powerful depending on the roles, while o</w:t>
      </w:r>
      <w:r>
        <w:rPr>
          <w:rFonts w:ascii="Times New Roman" w:eastAsia="Times New Roman" w:hAnsi="Times New Roman" w:cs="Times New Roman"/>
          <w:sz w:val="24"/>
          <w:szCs w:val="24"/>
        </w:rPr>
        <w:t>thers do not have much responsibilities and therefore having different levels of control. A general power of attorney gives the attorney more mandate compared to other types (McM</w:t>
      </w:r>
      <w:r w:rsidR="00AE0939">
        <w:rPr>
          <w:rFonts w:ascii="Times New Roman" w:eastAsia="Times New Roman" w:hAnsi="Times New Roman" w:cs="Times New Roman"/>
          <w:sz w:val="24"/>
          <w:szCs w:val="24"/>
        </w:rPr>
        <w:t>illan</w:t>
      </w:r>
      <w:r>
        <w:rPr>
          <w:rFonts w:ascii="Times New Roman" w:eastAsia="Times New Roman" w:hAnsi="Times New Roman" w:cs="Times New Roman"/>
          <w:sz w:val="24"/>
          <w:szCs w:val="24"/>
        </w:rPr>
        <w:t xml:space="preserve">, 2008). In this category, the agent is given overall powers in case the </w:t>
      </w:r>
      <w:r>
        <w:rPr>
          <w:rFonts w:ascii="Times New Roman" w:eastAsia="Times New Roman" w:hAnsi="Times New Roman" w:cs="Times New Roman"/>
          <w:sz w:val="24"/>
          <w:szCs w:val="24"/>
        </w:rPr>
        <w:t xml:space="preserve">person who needs help is not around. </w:t>
      </w:r>
    </w:p>
    <w:p w:rsidR="009C5A35" w:rsidRDefault="00636A6C" w:rsidP="00AE093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powers are the most applicable in general powers. Matters related to businesses or any income generating activities require close monitoring at all times. Therefore, most agents are hired to perform financial</w:t>
      </w:r>
      <w:r>
        <w:rPr>
          <w:rFonts w:ascii="Times New Roman" w:eastAsia="Times New Roman" w:hAnsi="Times New Roman" w:cs="Times New Roman"/>
          <w:sz w:val="24"/>
          <w:szCs w:val="24"/>
        </w:rPr>
        <w:t xml:space="preserve"> responsibilities. Agents may also be required to carry out or manage personal affairs mostly at home or work places and even when the individual in incapacitated. This helps in ensuring that all activities run normally and successfully even in absence of </w:t>
      </w:r>
      <w:r>
        <w:rPr>
          <w:rFonts w:ascii="Times New Roman" w:eastAsia="Times New Roman" w:hAnsi="Times New Roman" w:cs="Times New Roman"/>
          <w:sz w:val="24"/>
          <w:szCs w:val="24"/>
        </w:rPr>
        <w:t>the owner.</w:t>
      </w:r>
    </w:p>
    <w:p w:rsidR="009C5A35" w:rsidRDefault="009C5A35">
      <w:pPr>
        <w:spacing w:after="0" w:line="480" w:lineRule="auto"/>
        <w:ind w:firstLine="720"/>
        <w:rPr>
          <w:rFonts w:ascii="Times New Roman" w:eastAsia="Times New Roman" w:hAnsi="Times New Roman" w:cs="Times New Roman"/>
          <w:sz w:val="24"/>
          <w:szCs w:val="24"/>
        </w:rPr>
      </w:pPr>
    </w:p>
    <w:p w:rsidR="009C5A35" w:rsidRDefault="009C5A35">
      <w:pPr>
        <w:spacing w:after="0" w:line="480" w:lineRule="auto"/>
        <w:ind w:firstLine="720"/>
        <w:rPr>
          <w:rFonts w:ascii="Times New Roman" w:eastAsia="Times New Roman" w:hAnsi="Times New Roman" w:cs="Times New Roman"/>
          <w:sz w:val="24"/>
          <w:szCs w:val="24"/>
        </w:rPr>
      </w:pPr>
    </w:p>
    <w:p w:rsidR="009C5A35" w:rsidRDefault="00636A6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Question 2</w:t>
      </w:r>
    </w:p>
    <w:p w:rsidR="009C5A35" w:rsidRDefault="00636A6C" w:rsidP="00AE093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Ray Johnson had the right to claim for compensation of his son’s death and injuries he sustained. According to the findings by the court, it was not the first time for Rodgers to cause accidents in his line of duty. A while ago, his</w:t>
      </w:r>
      <w:r>
        <w:rPr>
          <w:rFonts w:ascii="Times New Roman" w:eastAsia="Times New Roman" w:hAnsi="Times New Roman" w:cs="Times New Roman"/>
          <w:sz w:val="24"/>
          <w:szCs w:val="24"/>
        </w:rPr>
        <w:t xml:space="preserve"> license was revoke. This means that ANC Company failed on its part. The Company’s management had a responsibility of checking ethical standards of the employee before trusting him with the vehicles. According to the report given, abuse of marijuana was wi</w:t>
      </w:r>
      <w:r>
        <w:rPr>
          <w:rFonts w:ascii="Times New Roman" w:eastAsia="Times New Roman" w:hAnsi="Times New Roman" w:cs="Times New Roman"/>
          <w:sz w:val="24"/>
          <w:szCs w:val="24"/>
        </w:rPr>
        <w:t>despread in ANC, but no action was taken.</w:t>
      </w:r>
    </w:p>
    <w:p w:rsidR="009C5A35" w:rsidRDefault="00636A6C" w:rsidP="00AE093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investigations, it was clear that other employees were also used to using drugs while at work. This is not only dangerous to them but also to pedestrians and other road users. The alcohol cans that</w:t>
      </w:r>
      <w:r>
        <w:rPr>
          <w:rFonts w:ascii="Times New Roman" w:eastAsia="Times New Roman" w:hAnsi="Times New Roman" w:cs="Times New Roman"/>
          <w:sz w:val="24"/>
          <w:szCs w:val="24"/>
        </w:rPr>
        <w:t xml:space="preserve"> were regularly found in the trucks on return to the company were clear evidence of negligence. Though there were rules and regulations formulated by the firm regarding the conduct of its workers, they were not followed. It was also wrong for the superviso</w:t>
      </w:r>
      <w:r>
        <w:rPr>
          <w:rFonts w:ascii="Times New Roman" w:eastAsia="Times New Roman" w:hAnsi="Times New Roman" w:cs="Times New Roman"/>
          <w:sz w:val="24"/>
          <w:szCs w:val="24"/>
        </w:rPr>
        <w:t>r to observe the employees abusing drugs at workplace without questioning them.</w:t>
      </w:r>
    </w:p>
    <w:p w:rsidR="009C5A35" w:rsidRDefault="00636A6C" w:rsidP="00AE093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series of negligence by the ANC supervisor and the top management, Johnson had lawful reasons to sue the Company. Damages that were Johnson was supposed to be com</w:t>
      </w:r>
      <w:r>
        <w:rPr>
          <w:rFonts w:ascii="Times New Roman" w:eastAsia="Times New Roman" w:hAnsi="Times New Roman" w:cs="Times New Roman"/>
          <w:sz w:val="24"/>
          <w:szCs w:val="24"/>
        </w:rPr>
        <w:t>pensated include his child’s wrongful death. As the parent, he went through emotional distress and had physical injuries. The defendant failed to prevent the accident on personal ground, and put the company under vicarious liability (McLellan &amp; Fredrick, 2</w:t>
      </w:r>
      <w:r>
        <w:rPr>
          <w:rFonts w:ascii="Times New Roman" w:eastAsia="Times New Roman" w:hAnsi="Times New Roman" w:cs="Times New Roman"/>
          <w:sz w:val="24"/>
          <w:szCs w:val="24"/>
        </w:rPr>
        <w:t>017). According to the ruling by the court, there was no need of compensating Johnson for emotional distress from his son’s injuries and death. They argued that he would recover from the trauma after a short while.</w:t>
      </w:r>
    </w:p>
    <w:p w:rsidR="009C5A35" w:rsidRDefault="009C5A35">
      <w:pPr>
        <w:spacing w:after="0" w:line="480" w:lineRule="auto"/>
        <w:ind w:firstLine="720"/>
        <w:rPr>
          <w:rFonts w:ascii="Times New Roman" w:eastAsia="Times New Roman" w:hAnsi="Times New Roman" w:cs="Times New Roman"/>
          <w:sz w:val="24"/>
          <w:szCs w:val="24"/>
        </w:rPr>
      </w:pPr>
    </w:p>
    <w:p w:rsidR="009C5A35" w:rsidRDefault="00636A6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9C5A35" w:rsidRDefault="00636A6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McLellan, D., &amp; Fredrick, M. (2017). Innocence Compensation: Vicarious Liability and Indemnification by the State of the Harms Caused by Wrongful Convictions. Available at SSRN 3086607.</w:t>
      </w:r>
    </w:p>
    <w:p w:rsidR="009C5A35" w:rsidRDefault="00636A6C">
      <w:pPr>
        <w:spacing w:after="0" w:line="480" w:lineRule="auto"/>
        <w:ind w:left="720" w:hanging="72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McM</w:t>
      </w:r>
      <w:r w:rsidR="00AE0939">
        <w:rPr>
          <w:rFonts w:ascii="Times New Roman" w:eastAsia="Times New Roman" w:hAnsi="Times New Roman" w:cs="Times New Roman"/>
          <w:sz w:val="24"/>
          <w:szCs w:val="24"/>
        </w:rPr>
        <w:t>illan</w:t>
      </w:r>
      <w:r>
        <w:rPr>
          <w:rFonts w:ascii="Times New Roman" w:eastAsia="Times New Roman" w:hAnsi="Times New Roman" w:cs="Times New Roman"/>
          <w:sz w:val="24"/>
          <w:szCs w:val="24"/>
        </w:rPr>
        <w:t xml:space="preserve">, </w:t>
      </w:r>
      <w:r w:rsidR="00AE0939">
        <w:rPr>
          <w:rFonts w:ascii="Times New Roman" w:eastAsia="Times New Roman" w:hAnsi="Times New Roman" w:cs="Times New Roman"/>
          <w:sz w:val="24"/>
          <w:szCs w:val="24"/>
        </w:rPr>
        <w:t>J.E.N. (</w:t>
      </w:r>
      <w:r>
        <w:rPr>
          <w:rFonts w:ascii="Times New Roman" w:eastAsia="Times New Roman" w:hAnsi="Times New Roman" w:cs="Times New Roman"/>
          <w:sz w:val="24"/>
          <w:szCs w:val="24"/>
        </w:rPr>
        <w:t>2008). Practical tips for executors where there has b</w:t>
      </w:r>
      <w:r>
        <w:rPr>
          <w:rFonts w:ascii="Times New Roman" w:eastAsia="Times New Roman" w:hAnsi="Times New Roman" w:cs="Times New Roman"/>
          <w:sz w:val="24"/>
          <w:szCs w:val="24"/>
        </w:rPr>
        <w:t>een an active enduring power of attorney. LSJ: Law Society of NSW journal, (41), P87.</w:t>
      </w:r>
      <w:bookmarkStart w:id="1" w:name="_GoBack"/>
      <w:bookmarkEnd w:id="1"/>
    </w:p>
    <w:sectPr w:rsidR="009C5A35">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A6C" w:rsidRDefault="00636A6C">
      <w:pPr>
        <w:spacing w:after="0" w:line="240" w:lineRule="auto"/>
      </w:pPr>
      <w:r>
        <w:separator/>
      </w:r>
    </w:p>
  </w:endnote>
  <w:endnote w:type="continuationSeparator" w:id="0">
    <w:p w:rsidR="00636A6C" w:rsidRDefault="00636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A6C" w:rsidRDefault="00636A6C">
      <w:pPr>
        <w:spacing w:after="0" w:line="240" w:lineRule="auto"/>
      </w:pPr>
      <w:r>
        <w:separator/>
      </w:r>
    </w:p>
  </w:footnote>
  <w:footnote w:type="continuationSeparator" w:id="0">
    <w:p w:rsidR="00636A6C" w:rsidRDefault="00636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A35" w:rsidRDefault="00AE0939">
    <w:pPr>
      <w:pBdr>
        <w:top w:val="nil"/>
        <w:left w:val="nil"/>
        <w:bottom w:val="nil"/>
        <w:right w:val="nil"/>
        <w:between w:val="nil"/>
      </w:pBdr>
      <w:tabs>
        <w:tab w:val="center" w:pos="4680"/>
        <w:tab w:val="right" w:pos="9360"/>
      </w:tabs>
      <w:spacing w:after="0" w:line="240" w:lineRule="auto"/>
      <w:rPr>
        <w:color w:val="000000"/>
      </w:rPr>
    </w:pPr>
    <w:r>
      <w:rPr>
        <w:rFonts w:ascii="Times New Roman" w:eastAsia="Times New Roman" w:hAnsi="Times New Roman" w:cs="Times New Roman"/>
        <w:sz w:val="24"/>
        <w:szCs w:val="24"/>
      </w:rPr>
      <w:t>POWER OF ATTORNEY AND CASE STUDY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AE0939">
      <w:rPr>
        <w:rFonts w:ascii="Times New Roman" w:eastAsia="Times New Roman" w:hAnsi="Times New Roman" w:cs="Times New Roman"/>
        <w:color w:val="000000"/>
        <w:sz w:val="24"/>
        <w:szCs w:val="24"/>
      </w:rPr>
      <w:fldChar w:fldCharType="begin"/>
    </w:r>
    <w:r w:rsidRPr="00AE0939">
      <w:rPr>
        <w:rFonts w:ascii="Times New Roman" w:eastAsia="Times New Roman" w:hAnsi="Times New Roman" w:cs="Times New Roman"/>
        <w:color w:val="000000"/>
        <w:sz w:val="24"/>
        <w:szCs w:val="24"/>
      </w:rPr>
      <w:instrText xml:space="preserve"> PAGE   \* MERGEFORMAT </w:instrText>
    </w:r>
    <w:r w:rsidRPr="00AE0939">
      <w:rPr>
        <w:rFonts w:ascii="Times New Roman" w:eastAsia="Times New Roman" w:hAnsi="Times New Roman" w:cs="Times New Roman"/>
        <w:color w:val="000000"/>
        <w:sz w:val="24"/>
        <w:szCs w:val="24"/>
      </w:rPr>
      <w:fldChar w:fldCharType="separate"/>
    </w:r>
    <w:r w:rsidR="009C037D">
      <w:rPr>
        <w:rFonts w:ascii="Times New Roman" w:eastAsia="Times New Roman" w:hAnsi="Times New Roman" w:cs="Times New Roman"/>
        <w:noProof/>
        <w:color w:val="000000"/>
        <w:sz w:val="24"/>
        <w:szCs w:val="24"/>
      </w:rPr>
      <w:t>3</w:t>
    </w:r>
    <w:r w:rsidRPr="00AE0939">
      <w:rPr>
        <w:rFonts w:ascii="Times New Roman" w:eastAsia="Times New Roman" w:hAnsi="Times New Roman" w:cs="Times New Roman"/>
        <w:noProof/>
        <w:color w:val="000000"/>
        <w:sz w:val="24"/>
        <w:szCs w:val="24"/>
      </w:rPr>
      <w:fldChar w:fldCharType="end"/>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AE0939">
      <w:rPr>
        <w:rFonts w:ascii="Times New Roman" w:eastAsia="Times New Roman" w:hAnsi="Times New Roman" w:cs="Times New Roman"/>
        <w:color w:val="000000"/>
        <w:sz w:val="24"/>
        <w:szCs w:val="24"/>
      </w:rPr>
      <w:fldChar w:fldCharType="begin"/>
    </w:r>
    <w:r w:rsidRPr="00AE0939">
      <w:rPr>
        <w:rFonts w:ascii="Times New Roman" w:eastAsia="Times New Roman" w:hAnsi="Times New Roman" w:cs="Times New Roman"/>
        <w:color w:val="000000"/>
        <w:sz w:val="24"/>
        <w:szCs w:val="24"/>
      </w:rPr>
      <w:instrText xml:space="preserve"> PAGE   \* MERGEFORMAT </w:instrText>
    </w:r>
    <w:r w:rsidRPr="00AE0939">
      <w:rPr>
        <w:rFonts w:ascii="Times New Roman" w:eastAsia="Times New Roman" w:hAnsi="Times New Roman" w:cs="Times New Roman"/>
        <w:color w:val="000000"/>
        <w:sz w:val="24"/>
        <w:szCs w:val="24"/>
      </w:rPr>
      <w:fldChar w:fldCharType="separate"/>
    </w:r>
    <w:r w:rsidR="009C037D">
      <w:rPr>
        <w:rFonts w:ascii="Times New Roman" w:eastAsia="Times New Roman" w:hAnsi="Times New Roman" w:cs="Times New Roman"/>
        <w:noProof/>
        <w:color w:val="000000"/>
        <w:sz w:val="24"/>
        <w:szCs w:val="24"/>
      </w:rPr>
      <w:t>3</w:t>
    </w:r>
    <w:r w:rsidRPr="00AE0939">
      <w:rPr>
        <w:rFonts w:ascii="Times New Roman" w:eastAsia="Times New Roman" w:hAnsi="Times New Roman" w:cs="Times New Roman"/>
        <w:noProof/>
        <w:color w:val="000000"/>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A35" w:rsidRPr="00AE0939" w:rsidRDefault="00AE0939" w:rsidP="00AE0939">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Running h</w:t>
    </w:r>
    <w:r w:rsidR="00636A6C">
      <w:rPr>
        <w:rFonts w:ascii="Times New Roman" w:eastAsia="Times New Roman" w:hAnsi="Times New Roman" w:cs="Times New Roman"/>
        <w:color w:val="000000"/>
        <w:sz w:val="24"/>
        <w:szCs w:val="24"/>
      </w:rPr>
      <w:t>ead: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POWER OF ATTORNEY AND CASE STUDY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AE0939">
      <w:rPr>
        <w:rFonts w:ascii="Times New Roman" w:eastAsia="Times New Roman" w:hAnsi="Times New Roman" w:cs="Times New Roman"/>
        <w:color w:val="000000"/>
        <w:sz w:val="24"/>
        <w:szCs w:val="24"/>
      </w:rPr>
      <w:fldChar w:fldCharType="begin"/>
    </w:r>
    <w:r w:rsidRPr="00AE0939">
      <w:rPr>
        <w:rFonts w:ascii="Times New Roman" w:eastAsia="Times New Roman" w:hAnsi="Times New Roman" w:cs="Times New Roman"/>
        <w:color w:val="000000"/>
        <w:sz w:val="24"/>
        <w:szCs w:val="24"/>
      </w:rPr>
      <w:instrText xml:space="preserve"> PAGE   \* MERGEFORMAT </w:instrText>
    </w:r>
    <w:r w:rsidRPr="00AE0939">
      <w:rPr>
        <w:rFonts w:ascii="Times New Roman" w:eastAsia="Times New Roman" w:hAnsi="Times New Roman" w:cs="Times New Roman"/>
        <w:color w:val="000000"/>
        <w:sz w:val="24"/>
        <w:szCs w:val="24"/>
      </w:rPr>
      <w:fldChar w:fldCharType="separate"/>
    </w:r>
    <w:r w:rsidR="009C037D">
      <w:rPr>
        <w:rFonts w:ascii="Times New Roman" w:eastAsia="Times New Roman" w:hAnsi="Times New Roman" w:cs="Times New Roman"/>
        <w:noProof/>
        <w:color w:val="000000"/>
        <w:sz w:val="24"/>
        <w:szCs w:val="24"/>
      </w:rPr>
      <w:t>1</w:t>
    </w:r>
    <w:r w:rsidRPr="00AE0939">
      <w:rPr>
        <w:rFonts w:ascii="Times New Roman" w:eastAsia="Times New Roman" w:hAnsi="Times New Roman" w:cs="Times New Roman"/>
        <w:noProof/>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A35"/>
    <w:rsid w:val="00636A6C"/>
    <w:rsid w:val="009C037D"/>
    <w:rsid w:val="009C5A35"/>
    <w:rsid w:val="00AE0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B8C14"/>
  <w15:docId w15:val="{09FB26E2-6ADF-45C6-AE6A-7476AECB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077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524"/>
  </w:style>
  <w:style w:type="paragraph" w:styleId="Footer">
    <w:name w:val="footer"/>
    <w:basedOn w:val="Normal"/>
    <w:link w:val="FooterChar"/>
    <w:uiPriority w:val="99"/>
    <w:unhideWhenUsed/>
    <w:rsid w:val="00077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524"/>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2019-03-10T20:17:00Z</dcterms:created>
  <dcterms:modified xsi:type="dcterms:W3CDTF">2019-03-10T20:17:00Z</dcterms:modified>
</cp:coreProperties>
</file>